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68" w:rsidRDefault="00CB1768" w:rsidP="00CB1768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B93BE8">
        <w:t>7</w:t>
      </w:r>
      <w:r w:rsidR="006C0071">
        <w:t>-</w:t>
      </w:r>
      <w:bookmarkStart w:id="0" w:name="_GoBack"/>
      <w:bookmarkEnd w:id="0"/>
      <w:r w:rsidR="00C3114C">
        <w:t>Bis</w:t>
      </w:r>
      <w:r>
        <w:rPr>
          <w:rFonts w:eastAsia="Malgun Gothic"/>
          <w:lang w:eastAsia="ko-KR"/>
        </w:rPr>
        <w:t xml:space="preserve"> 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>
        <w:t>R2-19</w:t>
      </w:r>
      <w:r w:rsidR="004779CC">
        <w:t>12512</w:t>
      </w:r>
    </w:p>
    <w:p w:rsidR="00CB1768" w:rsidRDefault="004779CC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Chongqing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China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14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</w:t>
      </w:r>
      <w:r w:rsidR="00CB1768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18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Oct</w:t>
      </w:r>
      <w:r w:rsidR="00CB1768">
        <w:rPr>
          <w:sz w:val="24"/>
          <w:lang w:eastAsia="zh-CN"/>
        </w:rPr>
        <w:t xml:space="preserve"> 2019</w:t>
      </w:r>
      <w:r>
        <w:rPr>
          <w:sz w:val="24"/>
          <w:lang w:eastAsia="zh-CN"/>
        </w:rPr>
        <w:tab/>
        <w:t>(Revision of R2-1908855)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630A7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3403F4">
              <w:rPr>
                <w:b/>
                <w:noProof/>
                <w:sz w:val="32"/>
              </w:rPr>
              <w:t>2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D22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 xml:space="preserve">Channel Occupancy in </w:t>
            </w:r>
            <w:r w:rsidR="00D2274B">
              <w:rPr>
                <w:noProof/>
              </w:rPr>
              <w:t>NR-U UE Capabilities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 xml:space="preserve">ccupancy </w:t>
            </w:r>
            <w:r w:rsidR="00653C04">
              <w:rPr>
                <w:iCs/>
                <w:lang w:val="en-IN"/>
              </w:rPr>
              <w:t>as optional UE capabilities</w:t>
            </w:r>
            <w:r w:rsidR="00D2274B"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653C04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UE’s capabilities in NR-U</w:t>
            </w:r>
            <w:r w:rsidR="000E0F46" w:rsidRPr="000E0F46">
              <w:rPr>
                <w:lang w:val="en-US"/>
              </w:rPr>
              <w:t xml:space="preserve"> need to be enhanced to </w:t>
            </w:r>
            <w:r>
              <w:rPr>
                <w:lang w:val="en-US"/>
              </w:rPr>
              <w:t xml:space="preserve">include </w:t>
            </w:r>
            <w:r w:rsidR="000E0F46" w:rsidRPr="000E0F46">
              <w:rPr>
                <w:lang w:val="en-US"/>
              </w:rPr>
              <w:t>captur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and report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</w:t>
            </w:r>
            <w:r w:rsidR="000E0F46">
              <w:rPr>
                <w:lang w:val="en-US"/>
              </w:rPr>
              <w:t>RSSI and C</w:t>
            </w:r>
            <w:r w:rsidR="000E0F46" w:rsidRPr="000E0F46">
              <w:rPr>
                <w:lang w:val="en-US"/>
              </w:rPr>
              <w:t xml:space="preserve">hannel </w:t>
            </w:r>
            <w:r w:rsidR="000E0F46">
              <w:rPr>
                <w:lang w:val="en-US"/>
              </w:rPr>
              <w:t>Occupancy</w:t>
            </w:r>
            <w:r>
              <w:rPr>
                <w:lang w:val="en-US"/>
              </w:rPr>
              <w:t>, as in LTE LAA</w:t>
            </w:r>
            <w:r w:rsidR="000E0F46">
              <w:rPr>
                <w:lang w:val="en-US"/>
              </w:rPr>
              <w:t xml:space="preserve">. The parameters of </w:t>
            </w:r>
            <w:r w:rsidR="000E0F46" w:rsidRPr="000E0F46">
              <w:rPr>
                <w:lang w:val="en-US"/>
              </w:rPr>
              <w:t>ReportConfigNR information element</w:t>
            </w:r>
            <w:r w:rsidR="000E0F46"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D2274B" w:rsidP="00D2274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UE capabilities and c</w:t>
            </w:r>
            <w:r w:rsidR="00653C04">
              <w:rPr>
                <w:lang w:val="en-US" w:eastAsia="ko-KR"/>
              </w:rPr>
              <w:t>onnected mode measurements</w:t>
            </w:r>
            <w:r w:rsidR="00A04DFA">
              <w:rPr>
                <w:noProof/>
                <w:lang w:eastAsia="ko-KR"/>
              </w:rPr>
              <w:t>.</w:t>
            </w:r>
            <w:bookmarkEnd w:id="3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>Channe</w:t>
            </w:r>
            <w:r w:rsidR="00653C04">
              <w:rPr>
                <w:iCs/>
                <w:lang w:val="en-IN"/>
              </w:rPr>
              <w:t>l occupancy and RSSI can not be included as capability of UE</w:t>
            </w:r>
            <w:r w:rsidR="00D2274B">
              <w:rPr>
                <w:iCs/>
                <w:lang w:val="en-IN"/>
              </w:rPr>
              <w:t xml:space="preserve"> and can not be correctly used.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21F" w:rsidRPr="008571AF" w:rsidRDefault="000A521F" w:rsidP="000A521F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i/>
          <w:sz w:val="22"/>
          <w:highlight w:val="yellow"/>
          <w:lang w:eastAsia="zh-CN"/>
        </w:rPr>
        <w:t>Start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0A521F" w:rsidRPr="001F528E" w:rsidRDefault="000A521F" w:rsidP="000A521F">
      <w:pPr>
        <w:pStyle w:val="Heading3"/>
      </w:pPr>
      <w:r w:rsidRPr="001F528E">
        <w:t>4.2.9</w:t>
      </w:r>
      <w:r w:rsidRPr="001F528E">
        <w:tab/>
      </w:r>
      <w:r w:rsidRPr="001F528E">
        <w:rPr>
          <w:i/>
        </w:rPr>
        <w:t>MeasAndMobParameters</w:t>
      </w:r>
    </w:p>
    <w:p w:rsidR="000A521F" w:rsidRDefault="000A521F" w:rsidP="000A52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810"/>
        <w:gridCol w:w="614"/>
        <w:gridCol w:w="646"/>
        <w:gridCol w:w="724"/>
      </w:tblGrid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csi-RS-RLM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38.213 [11] and </w:t>
            </w:r>
            <w:r>
              <w:rPr>
                <w:rFonts w:eastAsia="MS PGothic" w:cs="Arial"/>
                <w:szCs w:val="18"/>
              </w:rPr>
              <w:t xml:space="preserve">TS </w:t>
            </w:r>
            <w:r w:rsidRPr="001F528E">
              <w:rPr>
                <w:rFonts w:eastAsia="MS PGothic" w:cs="Arial"/>
                <w:szCs w:val="18"/>
              </w:rPr>
              <w:t>38.133 [5].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csi-RSRP-AndRSRQ-MeasWithSSB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with an associated SS/PBCH.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csi-RSRP-AndRSRQ-MeasWithoutSSB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for a cell that transmits SS/PBCH block and without an associated SS/PBCH block.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csi-SINR-Meas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CSI-SINR measurements based on configured CSI-RS resources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38.215 [13]. This parameter needs FR1 and FR2 differentiation. </w:t>
            </w: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eutra-CGI-Reporting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eventB-MeasAndReport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handover-eLTE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5GC. It is mandated if the UE supports EUTRA connected to 5GC.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handoverFDD-TDD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between FDD and TDD. It is mandated if the UE supports both FDD and TDD.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</w:t>
            </w:r>
            <w:r>
              <w:rPr>
                <w:b/>
                <w:i/>
              </w:rPr>
              <w:t>R1</w:t>
            </w:r>
            <w:r w:rsidRPr="001F528E">
              <w:rPr>
                <w:b/>
                <w:i/>
              </w:rPr>
              <w:t>-</w:t>
            </w:r>
            <w:r>
              <w:rPr>
                <w:b/>
                <w:i/>
              </w:rPr>
              <w:t>FR2</w:t>
            </w:r>
          </w:p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t>Indicates whether the UE supports HO between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 xml:space="preserve">. </w:t>
            </w:r>
            <w:r>
              <w:t>Support</w:t>
            </w:r>
            <w:r w:rsidRPr="001F528E">
              <w:t xml:space="preserve"> is </w:t>
            </w:r>
            <w:r>
              <w:t>mandatory for the UE supporting</w:t>
            </w:r>
            <w:r w:rsidRPr="001F528E">
              <w:t xml:space="preserve"> both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>.</w:t>
            </w:r>
          </w:p>
        </w:tc>
        <w:tc>
          <w:tcPr>
            <w:tcW w:w="810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U</w:t>
            </w:r>
            <w:r w:rsidRPr="004C35AD">
              <w:rPr>
                <w:rFonts w:eastAsia="Yu Mincho"/>
              </w:rPr>
              <w:t>E</w:t>
            </w:r>
          </w:p>
        </w:tc>
        <w:tc>
          <w:tcPr>
            <w:tcW w:w="614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Y</w:t>
            </w:r>
            <w:r w:rsidRPr="004C35AD">
              <w:rPr>
                <w:rFonts w:eastAsia="Yu Mincho"/>
              </w:rPr>
              <w:t>es</w:t>
            </w:r>
          </w:p>
        </w:tc>
        <w:tc>
          <w:tcPr>
            <w:tcW w:w="646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handoverInterF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 xml:space="preserve">Indicates whether the UE supports inter-frequency HO. </w:t>
            </w:r>
            <w:r w:rsidRPr="00CF78C4">
              <w:t xml:space="preserve">It indicates the support for inter-frequency HO from the corresponding duplex mode if this capability is included in </w:t>
            </w:r>
            <w:r w:rsidRPr="00C46B18">
              <w:rPr>
                <w:i/>
              </w:rPr>
              <w:t>fdd-Add-UE-NR-Capabilities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tdd-Add-UE-NR-Capabilities</w:t>
            </w:r>
            <w:r w:rsidRPr="00CF78C4">
              <w:t xml:space="preserve">. It indicates the support for of inter-frequency HO from the corresponding frequency range if this capability is included in </w:t>
            </w:r>
            <w:r w:rsidRPr="00C46B18">
              <w:rPr>
                <w:i/>
              </w:rPr>
              <w:t>fr1-Add-UE-NR-Capabilities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fr2-Add-UE-NR-Capabilities</w:t>
            </w:r>
            <w:r w:rsidRPr="00CF78C4"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handoverLTE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EPC. It is mandated if the UE supports EUTRA connected to EPC.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This field indicates whether the UE supports two independent measurement gap configurations for FR1 and FR2 specified in TS 38.133 [5].</w:t>
            </w:r>
            <w:r>
              <w:t xml:space="preserve"> </w:t>
            </w:r>
            <w:r>
              <w:rPr>
                <w:bCs/>
                <w:iCs/>
              </w:rPr>
              <w:t>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0A521F" w:rsidRPr="001F528E" w:rsidTr="00AE5C21">
        <w:trPr>
          <w:cantSplit/>
          <w:tblHeader/>
        </w:trPr>
        <w:tc>
          <w:tcPr>
            <w:tcW w:w="680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bookmarkStart w:id="4" w:name="_Toc535443279"/>
            <w:r w:rsidRPr="001F528E">
              <w:lastRenderedPageBreak/>
              <w:t>4.2.9</w:t>
            </w:r>
            <w:r w:rsidRPr="001F528E">
              <w:tab/>
            </w:r>
            <w:r w:rsidRPr="001F528E">
              <w:rPr>
                <w:i/>
              </w:rPr>
              <w:t>MeasAndMobParameters</w:t>
            </w:r>
            <w:bookmarkEnd w:id="4"/>
            <w:r w:rsidRPr="001F528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intra-frequency and inter-frequency measurements and at least periodical reporting.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Default="000A521F" w:rsidP="00AE5C2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EUTRA</w:t>
            </w: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Yes/No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maxNumberCSI-RS-RRM-RS-SINR</w:t>
            </w:r>
          </w:p>
          <w:p w:rsidR="000A521F" w:rsidRDefault="000A521F" w:rsidP="00AE5C21">
            <w:pPr>
              <w:pStyle w:val="TAL"/>
            </w:pPr>
            <w:r>
              <w:t>Defines the maximum number of CSI-RS resources for RRM and RS-SINR measurement across all measurement frequencies per slot</w:t>
            </w:r>
            <w:r w:rsidRPr="00FA2565">
              <w:t>.</w:t>
            </w:r>
          </w:p>
          <w:p w:rsidR="000A521F" w:rsidRPr="00FA2565" w:rsidRDefault="000A521F" w:rsidP="00AE5C21">
            <w:pPr>
              <w:pStyle w:val="TAL"/>
            </w:pP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maxNumberResource-CSI-RS-RLM</w:t>
            </w:r>
          </w:p>
          <w:p w:rsidR="000A521F" w:rsidRPr="00FA2565" w:rsidRDefault="000A521F" w:rsidP="00AE5C21">
            <w:pPr>
              <w:pStyle w:val="TAL"/>
            </w:pPr>
            <w:r>
              <w:t>Defines the maximum number of CSI-RS resources within a slot per spCell for CSI-RS based RLM</w:t>
            </w:r>
            <w:r w:rsidRPr="00FA2565">
              <w:t>.</w:t>
            </w: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nr-CGI-Reporting</w:t>
            </w:r>
          </w:p>
          <w:p w:rsidR="000A521F" w:rsidRPr="001F528E" w:rsidRDefault="000A521F" w:rsidP="00AE5C21">
            <w:pPr>
              <w:pStyle w:val="TAL"/>
            </w:pPr>
            <w:r w:rsidRPr="001F528E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Indicates whether the UE supports concurrent intra-frequency measurement on serving cell or neighbouring cell and PDCCH or PDSCH reception from the serving cell with a different numerology.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F528E">
              <w:t>Indicates whether the UE supports SFTD measurements between the Pcell and a configured PSCell.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sftd-MeasNR-Cell</w:t>
            </w:r>
          </w:p>
          <w:p w:rsidR="000A521F" w:rsidRPr="001F528E" w:rsidDel="006B1332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 xml:space="preserve">Indicates whether the SFTD measurement </w:t>
            </w:r>
            <w:r w:rsidRPr="001B0D9D">
              <w:t>with and without measurement gaps</w:t>
            </w:r>
            <w:r w:rsidRPr="001F528E">
              <w:t>between the Pcell and the NR cells is supported by the UE which is capable of EN-DC when EN-DC is not configured.</w:t>
            </w:r>
            <w:r>
              <w:t xml:space="preserve"> </w:t>
            </w:r>
            <w:r w:rsidRPr="001B0D9D">
              <w:t>The SFTD measurement without gaps can be used when the UE supports at least one EN-DC band combination consisting of the set of the current E-UTRA serving frequencies and the NR frequency where SFTD measurement is configured.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Del="00DA5514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ssb-AndCSI-RS-RLM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and CSI-RS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  <w:r>
              <w:rPr>
                <w:rFonts w:eastAsia="MS PGothic"/>
              </w:rPr>
              <w:t xml:space="preserve"> I</w:t>
            </w:r>
            <w:r>
              <w:rPr>
                <w:rFonts w:eastAsia="MS PGothic" w:cs="Arial"/>
                <w:szCs w:val="18"/>
              </w:rPr>
              <w:t xml:space="preserve">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Tbd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ss-SINR-Meas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SS-SINR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[13]. This parameter needs FR1 and FR2 differentiation.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</w:t>
            </w:r>
            <w:r>
              <w:rPr>
                <w:rFonts w:cs="Arial"/>
                <w:bCs/>
                <w:iCs/>
                <w:szCs w:val="18"/>
              </w:rPr>
              <w:t>133</w:t>
            </w:r>
            <w:r w:rsidRPr="001F528E">
              <w:rPr>
                <w:rFonts w:cs="Arial"/>
                <w:bCs/>
                <w:iCs/>
                <w:szCs w:val="18"/>
              </w:rPr>
              <w:t xml:space="preserve"> [</w:t>
            </w:r>
            <w:r>
              <w:rPr>
                <w:rFonts w:cs="Arial"/>
                <w:bCs/>
                <w:iCs/>
                <w:szCs w:val="18"/>
              </w:rPr>
              <w:t>5</w:t>
            </w:r>
            <w:r w:rsidRPr="001F528E">
              <w:rPr>
                <w:rFonts w:cs="Arial"/>
                <w:bCs/>
                <w:iCs/>
                <w:szCs w:val="18"/>
              </w:rPr>
              <w:t>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Del="00B42847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630A77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A521F">
              <w:rPr>
                <w:rFonts w:cs="Arial"/>
                <w:b/>
                <w:bCs/>
                <w:i/>
                <w:iCs/>
                <w:szCs w:val="18"/>
              </w:rPr>
              <w:t>rssi-AndChannelOccupancyReporting</w:t>
            </w:r>
          </w:p>
          <w:p w:rsidR="00630A77" w:rsidRPr="001F528E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</w:t>
            </w:r>
            <w:r>
              <w:rPr>
                <w:rFonts w:cs="Arial"/>
                <w:bCs/>
                <w:iCs/>
                <w:szCs w:val="18"/>
              </w:rPr>
              <w:t xml:space="preserve"> if UE can support rssi and channel occupancy reporting, as mentioned in 38.331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Del="00B42847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p w:rsidR="000A521F" w:rsidRPr="001F528E" w:rsidRDefault="000A521F" w:rsidP="000A521F"/>
    <w:p w:rsidR="000A521F" w:rsidRPr="000A521F" w:rsidRDefault="000A521F" w:rsidP="000A521F"/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50C" w:rsidRDefault="00F0750C">
      <w:r>
        <w:separator/>
      </w:r>
    </w:p>
  </w:endnote>
  <w:endnote w:type="continuationSeparator" w:id="0">
    <w:p w:rsidR="00F0750C" w:rsidRDefault="00F0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50C" w:rsidRDefault="00F0750C">
      <w:r>
        <w:separator/>
      </w:r>
    </w:p>
  </w:footnote>
  <w:footnote w:type="continuationSeparator" w:id="0">
    <w:p w:rsidR="00F0750C" w:rsidRDefault="00F07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 w15:restartNumberingAfterBreak="0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 w15:restartNumberingAfterBreak="0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 w15:restartNumberingAfterBreak="0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 w15:restartNumberingAfterBreak="0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 w15:restartNumberingAfterBreak="0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 w15:restartNumberingAfterBreak="0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6049A"/>
    <w:rsid w:val="00076E6A"/>
    <w:rsid w:val="000876D4"/>
    <w:rsid w:val="00096FC0"/>
    <w:rsid w:val="000972F6"/>
    <w:rsid w:val="000A521F"/>
    <w:rsid w:val="000A6394"/>
    <w:rsid w:val="000A6F86"/>
    <w:rsid w:val="000C038A"/>
    <w:rsid w:val="000C05B3"/>
    <w:rsid w:val="000C1EC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40B43"/>
    <w:rsid w:val="00145D43"/>
    <w:rsid w:val="00151C4E"/>
    <w:rsid w:val="001553B9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1686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9CC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8061D"/>
    <w:rsid w:val="00583305"/>
    <w:rsid w:val="00584655"/>
    <w:rsid w:val="00584828"/>
    <w:rsid w:val="00592D74"/>
    <w:rsid w:val="00596F1C"/>
    <w:rsid w:val="005A0B65"/>
    <w:rsid w:val="005A54F0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30A77"/>
    <w:rsid w:val="00641057"/>
    <w:rsid w:val="00653B03"/>
    <w:rsid w:val="00653C04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071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807FCF"/>
    <w:rsid w:val="00814145"/>
    <w:rsid w:val="008161D5"/>
    <w:rsid w:val="00825939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EF8"/>
    <w:rsid w:val="00BE1FF4"/>
    <w:rsid w:val="00C010D7"/>
    <w:rsid w:val="00C1238F"/>
    <w:rsid w:val="00C234C2"/>
    <w:rsid w:val="00C25E45"/>
    <w:rsid w:val="00C30256"/>
    <w:rsid w:val="00C302F3"/>
    <w:rsid w:val="00C30FC5"/>
    <w:rsid w:val="00C3114C"/>
    <w:rsid w:val="00C32198"/>
    <w:rsid w:val="00C34668"/>
    <w:rsid w:val="00C35702"/>
    <w:rsid w:val="00C35CCC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D00623"/>
    <w:rsid w:val="00D03F9A"/>
    <w:rsid w:val="00D15F18"/>
    <w:rsid w:val="00D2274B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3A5A"/>
    <w:rsid w:val="00EA65C2"/>
    <w:rsid w:val="00EB10DA"/>
    <w:rsid w:val="00EB4B27"/>
    <w:rsid w:val="00EB567F"/>
    <w:rsid w:val="00EE7D7C"/>
    <w:rsid w:val="00EF66D6"/>
    <w:rsid w:val="00F047FF"/>
    <w:rsid w:val="00F0750C"/>
    <w:rsid w:val="00F10D7C"/>
    <w:rsid w:val="00F24163"/>
    <w:rsid w:val="00F25D98"/>
    <w:rsid w:val="00F26D6E"/>
    <w:rsid w:val="00F30016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qFormat/>
    <w:rsid w:val="000A521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A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10</cp:revision>
  <cp:lastPrinted>2019-08-05T22:20:00Z</cp:lastPrinted>
  <dcterms:created xsi:type="dcterms:W3CDTF">2019-08-05T21:27:00Z</dcterms:created>
  <dcterms:modified xsi:type="dcterms:W3CDTF">2019-10-03T02:19:00Z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